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5177A" w14:textId="048889EE" w:rsidR="0045668E" w:rsidRDefault="006A2382" w:rsidP="00137484">
      <w:pPr>
        <w:jc w:val="center"/>
        <w:rPr>
          <w:rFonts w:ascii="Bradley Hand ITC" w:hAnsi="Bradley Hand ITC"/>
          <w:b/>
          <w:bCs/>
          <w:sz w:val="36"/>
          <w:szCs w:val="36"/>
        </w:rPr>
      </w:pPr>
      <w:r>
        <w:rPr>
          <w:rFonts w:ascii="Bradley Hand ITC" w:hAnsi="Bradley Hand ITC"/>
          <w:b/>
          <w:bCs/>
          <w:sz w:val="36"/>
          <w:szCs w:val="36"/>
        </w:rPr>
        <w:t>Racketfans</w:t>
      </w:r>
      <w:r>
        <w:rPr>
          <w:rFonts w:ascii="Bradley Hand ITC" w:hAnsi="Bradley Hand ITC"/>
          <w:b/>
          <w:bCs/>
          <w:noProof/>
          <w:sz w:val="36"/>
          <w:szCs w:val="36"/>
        </w:rPr>
        <w:drawing>
          <wp:inline distT="0" distB="0" distL="0" distR="0" wp14:anchorId="128201E8" wp14:editId="3B2E78D0">
            <wp:extent cx="1373133" cy="1631951"/>
            <wp:effectExtent l="285750" t="19050" r="1701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nnis-1298769_960_720.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rot="1658898">
                      <a:off x="0" y="0"/>
                      <a:ext cx="1398458" cy="1662049"/>
                    </a:xfrm>
                    <a:prstGeom prst="rect">
                      <a:avLst/>
                    </a:prstGeom>
                  </pic:spPr>
                </pic:pic>
              </a:graphicData>
            </a:graphic>
          </wp:inline>
        </w:drawing>
      </w:r>
      <w:r w:rsidR="0042044D">
        <w:rPr>
          <w:rFonts w:ascii="Bradley Hand ITC" w:hAnsi="Bradley Hand ITC"/>
          <w:b/>
          <w:bCs/>
          <w:sz w:val="36"/>
          <w:szCs w:val="36"/>
        </w:rPr>
        <w:t>September 1st</w:t>
      </w:r>
    </w:p>
    <w:p w14:paraId="6C163823" w14:textId="77777777" w:rsidR="0045668E" w:rsidRDefault="0045668E" w:rsidP="00E77A5F">
      <w:pPr>
        <w:jc w:val="center"/>
        <w:rPr>
          <w:rFonts w:ascii="Bradley Hand ITC" w:hAnsi="Bradley Hand ITC"/>
          <w:b/>
          <w:bCs/>
          <w:sz w:val="36"/>
          <w:szCs w:val="36"/>
        </w:rPr>
      </w:pPr>
    </w:p>
    <w:p w14:paraId="3F380FAE" w14:textId="00096861" w:rsidR="00652E3A" w:rsidRDefault="00E77A5F" w:rsidP="00B00A80">
      <w:pPr>
        <w:jc w:val="center"/>
        <w:rPr>
          <w:rFonts w:ascii="Bradley Hand ITC" w:hAnsi="Bradley Hand ITC"/>
          <w:b/>
          <w:bCs/>
          <w:sz w:val="36"/>
          <w:szCs w:val="36"/>
        </w:rPr>
      </w:pPr>
      <w:r w:rsidRPr="00E77A5F">
        <w:rPr>
          <w:rFonts w:ascii="Bradley Hand ITC" w:hAnsi="Bradley Hand ITC"/>
          <w:b/>
          <w:bCs/>
          <w:sz w:val="36"/>
          <w:szCs w:val="36"/>
        </w:rPr>
        <w:t>Hi  Racketeers</w:t>
      </w:r>
    </w:p>
    <w:p w14:paraId="4131FE72" w14:textId="2AC452A5" w:rsidR="00C408F3" w:rsidRPr="00C408F3" w:rsidRDefault="0042044D" w:rsidP="005255B2">
      <w:pPr>
        <w:jc w:val="center"/>
        <w:rPr>
          <w:rFonts w:ascii="Bradley Hand ITC" w:hAnsi="Bradley Hand ITC"/>
          <w:b/>
          <w:bCs/>
          <w:sz w:val="36"/>
          <w:szCs w:val="36"/>
        </w:rPr>
      </w:pPr>
      <w:r>
        <w:rPr>
          <w:rFonts w:ascii="Bradley Hand ITC" w:hAnsi="Bradley Hand ITC"/>
          <w:b/>
          <w:bCs/>
          <w:sz w:val="36"/>
          <w:szCs w:val="36"/>
        </w:rPr>
        <w:t xml:space="preserve">Welcome to your first </w:t>
      </w:r>
      <w:r w:rsidR="00225205">
        <w:rPr>
          <w:rFonts w:ascii="Bradley Hand ITC" w:hAnsi="Bradley Hand ITC"/>
          <w:b/>
          <w:bCs/>
          <w:sz w:val="36"/>
          <w:szCs w:val="36"/>
        </w:rPr>
        <w:t>Autumn</w:t>
      </w:r>
      <w:bookmarkStart w:id="0" w:name="_GoBack"/>
      <w:bookmarkEnd w:id="0"/>
      <w:r>
        <w:rPr>
          <w:rFonts w:ascii="Bradley Hand ITC" w:hAnsi="Bradley Hand ITC"/>
          <w:b/>
          <w:bCs/>
          <w:sz w:val="36"/>
          <w:szCs w:val="36"/>
        </w:rPr>
        <w:t xml:space="preserve"> newsletter. September already. Doesn’t seem 6 months since lockdown started does it?</w:t>
      </w:r>
    </w:p>
    <w:p w14:paraId="7E678149" w14:textId="4D55D486" w:rsidR="001639DA" w:rsidRDefault="001639DA" w:rsidP="00B00A80">
      <w:pPr>
        <w:jc w:val="center"/>
        <w:rPr>
          <w:rFonts w:ascii="Bradley Hand ITC" w:hAnsi="Bradley Hand ITC"/>
          <w:b/>
          <w:bCs/>
          <w:color w:val="70AD47" w:themeColor="accent6"/>
          <w:sz w:val="56"/>
          <w:szCs w:val="56"/>
        </w:rPr>
      </w:pPr>
      <w:r w:rsidRPr="00014CB4">
        <w:rPr>
          <w:rFonts w:ascii="Bradley Hand ITC" w:hAnsi="Bradley Hand ITC"/>
          <w:b/>
          <w:bCs/>
          <w:color w:val="70AD47" w:themeColor="accent6"/>
          <w:sz w:val="56"/>
          <w:szCs w:val="56"/>
        </w:rPr>
        <w:t>Tennis</w:t>
      </w:r>
    </w:p>
    <w:p w14:paraId="6ACA30C6" w14:textId="75EF90C6" w:rsidR="0006081E" w:rsidRPr="005255B2" w:rsidRDefault="0042044D" w:rsidP="004A0C56">
      <w:pPr>
        <w:jc w:val="center"/>
        <w:rPr>
          <w:rFonts w:ascii="Bradley Hand ITC" w:hAnsi="Bradley Hand ITC"/>
          <w:b/>
          <w:bCs/>
          <w:sz w:val="36"/>
          <w:szCs w:val="36"/>
        </w:rPr>
      </w:pPr>
      <w:r w:rsidRPr="005255B2">
        <w:rPr>
          <w:rFonts w:ascii="Bradley Hand ITC" w:hAnsi="Bradley Hand ITC"/>
          <w:b/>
          <w:bCs/>
          <w:sz w:val="36"/>
          <w:szCs w:val="36"/>
        </w:rPr>
        <w:t>Saturday club afternoons are going from strength to strength.  This week we had 13 and Maddie was busy coaching on court 1 so a full house of courts in use.</w:t>
      </w:r>
    </w:p>
    <w:p w14:paraId="494EFDF0" w14:textId="4DFBF3E8" w:rsidR="0042044D" w:rsidRPr="005255B2" w:rsidRDefault="0042044D" w:rsidP="004A0C56">
      <w:pPr>
        <w:jc w:val="center"/>
        <w:rPr>
          <w:rFonts w:ascii="Bradley Hand ITC" w:hAnsi="Bradley Hand ITC"/>
          <w:b/>
          <w:bCs/>
          <w:sz w:val="36"/>
          <w:szCs w:val="36"/>
        </w:rPr>
      </w:pPr>
      <w:r w:rsidRPr="005255B2">
        <w:rPr>
          <w:rFonts w:ascii="Bradley Hand ITC" w:hAnsi="Bradley Hand ITC"/>
          <w:b/>
          <w:bCs/>
          <w:sz w:val="36"/>
          <w:szCs w:val="36"/>
        </w:rPr>
        <w:t>From Saturday 5</w:t>
      </w:r>
      <w:r w:rsidRPr="005255B2">
        <w:rPr>
          <w:rFonts w:ascii="Bradley Hand ITC" w:hAnsi="Bradley Hand ITC"/>
          <w:b/>
          <w:bCs/>
          <w:sz w:val="36"/>
          <w:szCs w:val="36"/>
          <w:vertAlign w:val="superscript"/>
        </w:rPr>
        <w:t>th</w:t>
      </w:r>
      <w:r w:rsidRPr="005255B2">
        <w:rPr>
          <w:rFonts w:ascii="Bradley Hand ITC" w:hAnsi="Bradley Hand ITC"/>
          <w:b/>
          <w:bCs/>
          <w:sz w:val="36"/>
          <w:szCs w:val="36"/>
        </w:rPr>
        <w:t xml:space="preserve"> September we will block book courts 2, 3 and 4 from 1pm until 3pm for club afternoon use. Come and join in</w:t>
      </w:r>
      <w:r w:rsidR="0061313C">
        <w:rPr>
          <w:rFonts w:ascii="Bradley Hand ITC" w:hAnsi="Bradley Hand ITC"/>
          <w:b/>
          <w:bCs/>
          <w:sz w:val="36"/>
          <w:szCs w:val="36"/>
        </w:rPr>
        <w:t>.</w:t>
      </w:r>
      <w:r w:rsidRPr="005255B2">
        <w:rPr>
          <w:rFonts w:ascii="Bradley Hand ITC" w:hAnsi="Bradley Hand ITC"/>
          <w:b/>
          <w:bCs/>
          <w:sz w:val="36"/>
          <w:szCs w:val="36"/>
        </w:rPr>
        <w:t xml:space="preserve"> The more the better.</w:t>
      </w:r>
    </w:p>
    <w:p w14:paraId="65B2C95C" w14:textId="14B4BA40" w:rsidR="00930447" w:rsidRDefault="00930447" w:rsidP="00CC441B">
      <w:pPr>
        <w:jc w:val="center"/>
        <w:rPr>
          <w:rFonts w:ascii="Bradley Hand ITC" w:hAnsi="Bradley Hand ITC"/>
          <w:color w:val="4472C4" w:themeColor="accent1"/>
          <w:sz w:val="36"/>
          <w:szCs w:val="36"/>
        </w:rPr>
      </w:pPr>
    </w:p>
    <w:p w14:paraId="07800C2C" w14:textId="0A09F71E" w:rsidR="00AB636A" w:rsidRDefault="005255B2" w:rsidP="00D02F24">
      <w:pPr>
        <w:jc w:val="center"/>
        <w:rPr>
          <w:rFonts w:ascii="Bradley Hand ITC" w:hAnsi="Bradley Hand ITC"/>
          <w:sz w:val="36"/>
          <w:szCs w:val="36"/>
        </w:rPr>
      </w:pPr>
      <w:r>
        <w:rPr>
          <w:rFonts w:ascii="Bradley Hand ITC" w:hAnsi="Bradley Hand ITC"/>
          <w:noProof/>
          <w:sz w:val="36"/>
          <w:szCs w:val="36"/>
        </w:rPr>
        <w:drawing>
          <wp:anchor distT="0" distB="0" distL="114300" distR="114300" simplePos="0" relativeHeight="251658240" behindDoc="1" locked="0" layoutInCell="1" allowOverlap="1" wp14:anchorId="5983FFBB" wp14:editId="04F354E5">
            <wp:simplePos x="0" y="0"/>
            <wp:positionH relativeFrom="column">
              <wp:posOffset>1117315</wp:posOffset>
            </wp:positionH>
            <wp:positionV relativeFrom="paragraph">
              <wp:posOffset>-506292</wp:posOffset>
            </wp:positionV>
            <wp:extent cx="3840480" cy="2209165"/>
            <wp:effectExtent l="0" t="0" r="7620" b="635"/>
            <wp:wrapTight wrapText="bothSides">
              <wp:wrapPolygon edited="0">
                <wp:start x="0" y="0"/>
                <wp:lineTo x="0" y="21420"/>
                <wp:lineTo x="21536" y="21420"/>
                <wp:lineTo x="21536" y="0"/>
                <wp:lineTo x="0" y="0"/>
              </wp:wrapPolygon>
            </wp:wrapTight>
            <wp:docPr id="1" name="Picture 1" descr="A picture containing sport, outdoor, game, cou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00829_135426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40480" cy="2209165"/>
                    </a:xfrm>
                    <a:prstGeom prst="rect">
                      <a:avLst/>
                    </a:prstGeom>
                  </pic:spPr>
                </pic:pic>
              </a:graphicData>
            </a:graphic>
            <wp14:sizeRelH relativeFrom="margin">
              <wp14:pctWidth>0</wp14:pctWidth>
            </wp14:sizeRelH>
            <wp14:sizeRelV relativeFrom="margin">
              <wp14:pctHeight>0</wp14:pctHeight>
            </wp14:sizeRelV>
          </wp:anchor>
        </w:drawing>
      </w:r>
    </w:p>
    <w:p w14:paraId="59DDCEB9" w14:textId="0292BD75" w:rsidR="005527C4" w:rsidRDefault="005527C4" w:rsidP="00C8449D">
      <w:pPr>
        <w:rPr>
          <w:rFonts w:ascii="Bradley Hand ITC" w:hAnsi="Bradley Hand ITC"/>
          <w:sz w:val="36"/>
          <w:szCs w:val="36"/>
        </w:rPr>
      </w:pPr>
    </w:p>
    <w:p w14:paraId="527AECB2" w14:textId="50D75589" w:rsidR="005255B2" w:rsidRDefault="005255B2" w:rsidP="00C8449D">
      <w:pPr>
        <w:rPr>
          <w:rFonts w:ascii="Bradley Hand ITC" w:hAnsi="Bradley Hand ITC"/>
          <w:sz w:val="36"/>
          <w:szCs w:val="36"/>
        </w:rPr>
      </w:pPr>
    </w:p>
    <w:p w14:paraId="6FF956B0" w14:textId="4B7F89AF" w:rsidR="005255B2" w:rsidRDefault="005255B2" w:rsidP="00C8449D">
      <w:pPr>
        <w:rPr>
          <w:rFonts w:ascii="Bradley Hand ITC" w:hAnsi="Bradley Hand ITC"/>
          <w:sz w:val="36"/>
          <w:szCs w:val="36"/>
        </w:rPr>
      </w:pPr>
    </w:p>
    <w:p w14:paraId="76D1E034" w14:textId="6C931EBA" w:rsidR="005255B2" w:rsidRDefault="005255B2" w:rsidP="00C8449D">
      <w:pPr>
        <w:rPr>
          <w:rFonts w:ascii="Bradley Hand ITC" w:hAnsi="Bradley Hand ITC"/>
          <w:sz w:val="36"/>
          <w:szCs w:val="36"/>
        </w:rPr>
      </w:pPr>
    </w:p>
    <w:p w14:paraId="5586461C" w14:textId="1B3C852E" w:rsidR="0061313C" w:rsidRPr="005255B2" w:rsidRDefault="005255B2" w:rsidP="0061313C">
      <w:pPr>
        <w:jc w:val="center"/>
        <w:rPr>
          <w:rFonts w:ascii="Bradley Hand ITC" w:hAnsi="Bradley Hand ITC"/>
          <w:b/>
          <w:bCs/>
          <w:sz w:val="36"/>
          <w:szCs w:val="36"/>
        </w:rPr>
      </w:pPr>
      <w:r w:rsidRPr="005255B2">
        <w:rPr>
          <w:rFonts w:ascii="Bradley Hand ITC" w:hAnsi="Bradley Hand ITC"/>
          <w:b/>
          <w:bCs/>
          <w:sz w:val="36"/>
          <w:szCs w:val="36"/>
        </w:rPr>
        <w:lastRenderedPageBreak/>
        <w:t>Andy Lloyd continues to organise more serious tennis on Monday evenings starting at 6pm and two league competitions are about to get under way. It’s not too late to join in……but hurr</w:t>
      </w:r>
      <w:r w:rsidR="0061313C">
        <w:rPr>
          <w:rFonts w:ascii="Bradley Hand ITC" w:hAnsi="Bradley Hand ITC"/>
          <w:b/>
          <w:bCs/>
          <w:sz w:val="36"/>
          <w:szCs w:val="36"/>
        </w:rPr>
        <w:t>y. G</w:t>
      </w:r>
      <w:r w:rsidRPr="005255B2">
        <w:rPr>
          <w:rFonts w:ascii="Bradley Hand ITC" w:hAnsi="Bradley Hand ITC"/>
          <w:b/>
          <w:bCs/>
          <w:sz w:val="36"/>
          <w:szCs w:val="36"/>
        </w:rPr>
        <w:t>et hold of Andy fast</w:t>
      </w:r>
      <w:r w:rsidR="0061313C">
        <w:rPr>
          <w:rFonts w:ascii="Bradley Hand ITC" w:hAnsi="Bradley Hand ITC"/>
          <w:b/>
          <w:bCs/>
          <w:sz w:val="36"/>
          <w:szCs w:val="36"/>
        </w:rPr>
        <w:t>!</w:t>
      </w:r>
    </w:p>
    <w:p w14:paraId="2A71CADF" w14:textId="650A35AC" w:rsidR="005255B2" w:rsidRDefault="005255B2" w:rsidP="0061313C">
      <w:pPr>
        <w:jc w:val="center"/>
        <w:rPr>
          <w:rFonts w:ascii="Bradley Hand ITC" w:hAnsi="Bradley Hand ITC"/>
          <w:b/>
          <w:bCs/>
          <w:sz w:val="36"/>
          <w:szCs w:val="36"/>
        </w:rPr>
      </w:pPr>
      <w:r w:rsidRPr="005255B2">
        <w:rPr>
          <w:rFonts w:ascii="Bradley Hand ITC" w:hAnsi="Bradley Hand ITC"/>
          <w:b/>
          <w:bCs/>
          <w:sz w:val="36"/>
          <w:szCs w:val="36"/>
        </w:rPr>
        <w:t>New Coach Maddie has had great success with her summer sessions and a new coaching timetable will be released soon. More details will be available shortly.</w:t>
      </w:r>
    </w:p>
    <w:p w14:paraId="6293E1A0" w14:textId="3A8983DA" w:rsidR="005255B2" w:rsidRPr="005255B2" w:rsidRDefault="005255B2" w:rsidP="005255B2">
      <w:pPr>
        <w:jc w:val="center"/>
        <w:rPr>
          <w:rFonts w:ascii="Bradley Hand ITC" w:hAnsi="Bradley Hand ITC"/>
          <w:b/>
          <w:bCs/>
          <w:color w:val="FF0000"/>
          <w:sz w:val="56"/>
          <w:szCs w:val="56"/>
        </w:rPr>
      </w:pPr>
      <w:r w:rsidRPr="005255B2">
        <w:rPr>
          <w:rFonts w:ascii="Bradley Hand ITC" w:hAnsi="Bradley Hand ITC"/>
          <w:b/>
          <w:bCs/>
          <w:color w:val="FF0000"/>
          <w:sz w:val="56"/>
          <w:szCs w:val="56"/>
        </w:rPr>
        <w:t>SQUASH AND RACKETBALL</w:t>
      </w:r>
    </w:p>
    <w:p w14:paraId="48941883" w14:textId="7EA0F67F" w:rsidR="005255B2" w:rsidRDefault="00A8583F" w:rsidP="005255B2">
      <w:pPr>
        <w:jc w:val="center"/>
        <w:rPr>
          <w:rFonts w:ascii="Bradley Hand ITC" w:hAnsi="Bradley Hand ITC"/>
          <w:b/>
          <w:bCs/>
          <w:color w:val="FF0000"/>
          <w:sz w:val="36"/>
          <w:szCs w:val="36"/>
        </w:rPr>
      </w:pPr>
      <w:r>
        <w:rPr>
          <w:rFonts w:ascii="Bradley Hand ITC" w:hAnsi="Bradley Hand ITC"/>
          <w:b/>
          <w:bCs/>
          <w:color w:val="FF0000"/>
          <w:sz w:val="36"/>
          <w:szCs w:val="36"/>
        </w:rPr>
        <w:t>S</w:t>
      </w:r>
      <w:r w:rsidR="005255B2">
        <w:rPr>
          <w:rFonts w:ascii="Bradley Hand ITC" w:hAnsi="Bradley Hand ITC"/>
          <w:b/>
          <w:bCs/>
          <w:color w:val="FF0000"/>
          <w:sz w:val="36"/>
          <w:szCs w:val="36"/>
        </w:rPr>
        <w:t xml:space="preserve">ome good news from Squash England allowing players in’ bubbles’ to play proper all court competitive games. Keep your ears and eyes open for more details. </w:t>
      </w:r>
    </w:p>
    <w:p w14:paraId="5A4BD814" w14:textId="53B9F87A" w:rsidR="005255B2" w:rsidRDefault="005255B2" w:rsidP="0061313C">
      <w:pPr>
        <w:jc w:val="center"/>
        <w:rPr>
          <w:rFonts w:ascii="Bradley Hand ITC" w:hAnsi="Bradley Hand ITC"/>
          <w:b/>
          <w:bCs/>
          <w:color w:val="FF0000"/>
          <w:sz w:val="36"/>
          <w:szCs w:val="36"/>
        </w:rPr>
      </w:pPr>
      <w:r>
        <w:rPr>
          <w:rFonts w:ascii="Bradley Hand ITC" w:hAnsi="Bradley Hand ITC"/>
          <w:b/>
          <w:bCs/>
          <w:color w:val="FF0000"/>
          <w:sz w:val="36"/>
          <w:szCs w:val="36"/>
        </w:rPr>
        <w:t>In the meantime</w:t>
      </w:r>
      <w:r w:rsidR="0061313C">
        <w:rPr>
          <w:rFonts w:ascii="Bradley Hand ITC" w:hAnsi="Bradley Hand ITC"/>
          <w:b/>
          <w:bCs/>
          <w:color w:val="FF0000"/>
          <w:sz w:val="36"/>
          <w:szCs w:val="36"/>
        </w:rPr>
        <w:t>,</w:t>
      </w:r>
      <w:r>
        <w:rPr>
          <w:rFonts w:ascii="Bradley Hand ITC" w:hAnsi="Bradley Hand ITC"/>
          <w:b/>
          <w:bCs/>
          <w:color w:val="FF0000"/>
          <w:sz w:val="36"/>
          <w:szCs w:val="36"/>
        </w:rPr>
        <w:t xml:space="preserve"> keep up your practi</w:t>
      </w:r>
      <w:r w:rsidR="0061313C">
        <w:rPr>
          <w:rFonts w:ascii="Bradley Hand ITC" w:hAnsi="Bradley Hand ITC"/>
          <w:b/>
          <w:bCs/>
          <w:color w:val="FF0000"/>
          <w:sz w:val="36"/>
          <w:szCs w:val="36"/>
        </w:rPr>
        <w:t>s</w:t>
      </w:r>
      <w:r>
        <w:rPr>
          <w:rFonts w:ascii="Bradley Hand ITC" w:hAnsi="Bradley Hand ITC"/>
          <w:b/>
          <w:bCs/>
          <w:color w:val="FF0000"/>
          <w:sz w:val="36"/>
          <w:szCs w:val="36"/>
        </w:rPr>
        <w:t xml:space="preserve">ing and your fitness levels. </w:t>
      </w:r>
    </w:p>
    <w:p w14:paraId="13F30F41" w14:textId="07E0D9B1" w:rsidR="005255B2" w:rsidRDefault="005255B2" w:rsidP="005255B2">
      <w:pPr>
        <w:jc w:val="center"/>
        <w:rPr>
          <w:rFonts w:ascii="Bradley Hand ITC" w:hAnsi="Bradley Hand ITC"/>
          <w:b/>
          <w:bCs/>
          <w:color w:val="4472C4" w:themeColor="accent1"/>
          <w:sz w:val="56"/>
          <w:szCs w:val="56"/>
        </w:rPr>
      </w:pPr>
      <w:r w:rsidRPr="005255B2">
        <w:rPr>
          <w:rFonts w:ascii="Bradley Hand ITC" w:hAnsi="Bradley Hand ITC"/>
          <w:b/>
          <w:bCs/>
          <w:color w:val="4472C4" w:themeColor="accent1"/>
          <w:sz w:val="56"/>
          <w:szCs w:val="56"/>
        </w:rPr>
        <w:t>The Sportsmans</w:t>
      </w:r>
      <w:r w:rsidR="0061313C">
        <w:rPr>
          <w:rFonts w:ascii="Bradley Hand ITC" w:hAnsi="Bradley Hand ITC"/>
          <w:b/>
          <w:bCs/>
          <w:color w:val="4472C4" w:themeColor="accent1"/>
          <w:sz w:val="56"/>
          <w:szCs w:val="56"/>
        </w:rPr>
        <w:t>’</w:t>
      </w:r>
      <w:r w:rsidRPr="005255B2">
        <w:rPr>
          <w:rFonts w:ascii="Bradley Hand ITC" w:hAnsi="Bradley Hand ITC"/>
          <w:b/>
          <w:bCs/>
          <w:color w:val="4472C4" w:themeColor="accent1"/>
          <w:sz w:val="56"/>
          <w:szCs w:val="56"/>
        </w:rPr>
        <w:t xml:space="preserve"> Bar</w:t>
      </w:r>
    </w:p>
    <w:p w14:paraId="48AFDA3F" w14:textId="7BCDE37D" w:rsidR="005255B2" w:rsidRDefault="005255B2" w:rsidP="005255B2">
      <w:pPr>
        <w:jc w:val="center"/>
        <w:rPr>
          <w:rFonts w:ascii="Bradley Hand ITC" w:hAnsi="Bradley Hand ITC"/>
          <w:b/>
          <w:bCs/>
          <w:color w:val="4472C4" w:themeColor="accent1"/>
          <w:sz w:val="36"/>
          <w:szCs w:val="36"/>
        </w:rPr>
      </w:pPr>
      <w:r>
        <w:rPr>
          <w:rFonts w:ascii="Bradley Hand ITC" w:hAnsi="Bradley Hand ITC"/>
          <w:b/>
          <w:bCs/>
          <w:color w:val="4472C4" w:themeColor="accent1"/>
          <w:sz w:val="36"/>
          <w:szCs w:val="36"/>
        </w:rPr>
        <w:t>More good news here.  From September</w:t>
      </w:r>
      <w:r w:rsidR="0061313C">
        <w:rPr>
          <w:rFonts w:ascii="Bradley Hand ITC" w:hAnsi="Bradley Hand ITC"/>
          <w:b/>
          <w:bCs/>
          <w:color w:val="4472C4" w:themeColor="accent1"/>
          <w:sz w:val="36"/>
          <w:szCs w:val="36"/>
        </w:rPr>
        <w:t xml:space="preserve"> 7</w:t>
      </w:r>
      <w:r w:rsidR="0061313C" w:rsidRPr="0061313C">
        <w:rPr>
          <w:rFonts w:ascii="Bradley Hand ITC" w:hAnsi="Bradley Hand ITC"/>
          <w:b/>
          <w:bCs/>
          <w:color w:val="4472C4" w:themeColor="accent1"/>
          <w:sz w:val="36"/>
          <w:szCs w:val="36"/>
          <w:vertAlign w:val="superscript"/>
        </w:rPr>
        <w:t>th</w:t>
      </w:r>
      <w:r w:rsidR="0061313C">
        <w:rPr>
          <w:rFonts w:ascii="Bradley Hand ITC" w:hAnsi="Bradley Hand ITC"/>
          <w:b/>
          <w:bCs/>
          <w:color w:val="4472C4" w:themeColor="accent1"/>
          <w:sz w:val="36"/>
          <w:szCs w:val="36"/>
        </w:rPr>
        <w:t xml:space="preserve"> the bar will reopen on Mondays from 4pm -9pm. And there is a cricket match on Saturday 5</w:t>
      </w:r>
      <w:r w:rsidR="0061313C" w:rsidRPr="0061313C">
        <w:rPr>
          <w:rFonts w:ascii="Bradley Hand ITC" w:hAnsi="Bradley Hand ITC"/>
          <w:b/>
          <w:bCs/>
          <w:color w:val="4472C4" w:themeColor="accent1"/>
          <w:sz w:val="36"/>
          <w:szCs w:val="36"/>
          <w:vertAlign w:val="superscript"/>
        </w:rPr>
        <w:t>th</w:t>
      </w:r>
      <w:r w:rsidR="0061313C">
        <w:rPr>
          <w:rFonts w:ascii="Bradley Hand ITC" w:hAnsi="Bradley Hand ITC"/>
          <w:b/>
          <w:bCs/>
          <w:color w:val="4472C4" w:themeColor="accent1"/>
          <w:sz w:val="36"/>
          <w:szCs w:val="36"/>
        </w:rPr>
        <w:t xml:space="preserve"> September.  So, come along, have a drink and watch the cricketeers.</w:t>
      </w:r>
    </w:p>
    <w:p w14:paraId="024E9D8A" w14:textId="207E36DD" w:rsidR="0061313C" w:rsidRDefault="0061313C" w:rsidP="005255B2">
      <w:pPr>
        <w:jc w:val="center"/>
        <w:rPr>
          <w:rFonts w:ascii="Bradley Hand ITC" w:hAnsi="Bradley Hand ITC"/>
          <w:b/>
          <w:bCs/>
          <w:color w:val="4472C4" w:themeColor="accent1"/>
          <w:sz w:val="36"/>
          <w:szCs w:val="36"/>
        </w:rPr>
      </w:pPr>
      <w:r>
        <w:rPr>
          <w:rFonts w:ascii="Bradley Hand ITC" w:hAnsi="Bradley Hand ITC"/>
          <w:b/>
          <w:bCs/>
          <w:color w:val="4472C4" w:themeColor="accent1"/>
          <w:sz w:val="36"/>
          <w:szCs w:val="36"/>
        </w:rPr>
        <w:t>And, even more good news….the football season kicks off again.</w:t>
      </w:r>
    </w:p>
    <w:p w14:paraId="250B8E42" w14:textId="4D57C421" w:rsidR="0061313C" w:rsidRDefault="0061313C" w:rsidP="005255B2">
      <w:pPr>
        <w:jc w:val="center"/>
        <w:rPr>
          <w:rFonts w:ascii="Bradley Hand ITC" w:hAnsi="Bradley Hand ITC"/>
          <w:b/>
          <w:bCs/>
          <w:color w:val="4472C4" w:themeColor="accent1"/>
          <w:sz w:val="36"/>
          <w:szCs w:val="36"/>
        </w:rPr>
      </w:pPr>
      <w:r>
        <w:rPr>
          <w:rFonts w:ascii="Bradley Hand ITC" w:hAnsi="Bradley Hand ITC"/>
          <w:b/>
          <w:bCs/>
          <w:color w:val="4472C4" w:themeColor="accent1"/>
          <w:sz w:val="36"/>
          <w:szCs w:val="36"/>
        </w:rPr>
        <w:t>That’s it from Gringo Wilson. Have a great sporting week.</w:t>
      </w:r>
    </w:p>
    <w:p w14:paraId="37702A0E" w14:textId="77777777" w:rsidR="0061313C" w:rsidRPr="005255B2" w:rsidRDefault="0061313C" w:rsidP="005255B2">
      <w:pPr>
        <w:jc w:val="center"/>
        <w:rPr>
          <w:rFonts w:ascii="Bradley Hand ITC" w:hAnsi="Bradley Hand ITC"/>
          <w:b/>
          <w:bCs/>
          <w:color w:val="4472C4" w:themeColor="accent1"/>
          <w:sz w:val="36"/>
          <w:szCs w:val="36"/>
        </w:rPr>
      </w:pPr>
    </w:p>
    <w:sectPr w:rsidR="0061313C" w:rsidRPr="005255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altName w:val="Bradley Hand ITC"/>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A268D"/>
    <w:multiLevelType w:val="hybridMultilevel"/>
    <w:tmpl w:val="6E540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8B32BA"/>
    <w:multiLevelType w:val="hybridMultilevel"/>
    <w:tmpl w:val="BCB4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A5F"/>
    <w:rsid w:val="00014CB4"/>
    <w:rsid w:val="0003363D"/>
    <w:rsid w:val="000352AF"/>
    <w:rsid w:val="00055F4F"/>
    <w:rsid w:val="0006081E"/>
    <w:rsid w:val="00067A90"/>
    <w:rsid w:val="00077353"/>
    <w:rsid w:val="00083714"/>
    <w:rsid w:val="000C221A"/>
    <w:rsid w:val="000C4BF0"/>
    <w:rsid w:val="000D2E28"/>
    <w:rsid w:val="00105A3B"/>
    <w:rsid w:val="00132850"/>
    <w:rsid w:val="00133514"/>
    <w:rsid w:val="00137484"/>
    <w:rsid w:val="001639DA"/>
    <w:rsid w:val="00167A98"/>
    <w:rsid w:val="001B3583"/>
    <w:rsid w:val="001D2C62"/>
    <w:rsid w:val="001D38B7"/>
    <w:rsid w:val="0020318F"/>
    <w:rsid w:val="00206F63"/>
    <w:rsid w:val="0021019B"/>
    <w:rsid w:val="0021760A"/>
    <w:rsid w:val="00220DB3"/>
    <w:rsid w:val="00225205"/>
    <w:rsid w:val="00235F1A"/>
    <w:rsid w:val="002606EF"/>
    <w:rsid w:val="0027013A"/>
    <w:rsid w:val="002769F9"/>
    <w:rsid w:val="002879DF"/>
    <w:rsid w:val="00296A7D"/>
    <w:rsid w:val="002A2788"/>
    <w:rsid w:val="002D0D29"/>
    <w:rsid w:val="002D569B"/>
    <w:rsid w:val="002D720A"/>
    <w:rsid w:val="002E602D"/>
    <w:rsid w:val="00310DDF"/>
    <w:rsid w:val="003F08F1"/>
    <w:rsid w:val="0040409C"/>
    <w:rsid w:val="0042044D"/>
    <w:rsid w:val="00433DF2"/>
    <w:rsid w:val="00437AAD"/>
    <w:rsid w:val="004446EE"/>
    <w:rsid w:val="00445153"/>
    <w:rsid w:val="00451531"/>
    <w:rsid w:val="0045668E"/>
    <w:rsid w:val="00476545"/>
    <w:rsid w:val="00485F41"/>
    <w:rsid w:val="004A0C56"/>
    <w:rsid w:val="004B2095"/>
    <w:rsid w:val="004C5DD1"/>
    <w:rsid w:val="004C60C4"/>
    <w:rsid w:val="004E16C9"/>
    <w:rsid w:val="00510E38"/>
    <w:rsid w:val="005149C1"/>
    <w:rsid w:val="00523708"/>
    <w:rsid w:val="005255B2"/>
    <w:rsid w:val="005423D7"/>
    <w:rsid w:val="005527C4"/>
    <w:rsid w:val="0057359B"/>
    <w:rsid w:val="00576B26"/>
    <w:rsid w:val="005941E4"/>
    <w:rsid w:val="005A0195"/>
    <w:rsid w:val="005A2AEB"/>
    <w:rsid w:val="005D55E5"/>
    <w:rsid w:val="006024CD"/>
    <w:rsid w:val="0061313C"/>
    <w:rsid w:val="00652E3A"/>
    <w:rsid w:val="00656905"/>
    <w:rsid w:val="0066111C"/>
    <w:rsid w:val="006648F6"/>
    <w:rsid w:val="006A2382"/>
    <w:rsid w:val="006C3650"/>
    <w:rsid w:val="006D3A09"/>
    <w:rsid w:val="006E1A69"/>
    <w:rsid w:val="00720F59"/>
    <w:rsid w:val="007363ED"/>
    <w:rsid w:val="00782D4C"/>
    <w:rsid w:val="00783423"/>
    <w:rsid w:val="00787E92"/>
    <w:rsid w:val="0079317D"/>
    <w:rsid w:val="00795C28"/>
    <w:rsid w:val="007C181A"/>
    <w:rsid w:val="00804AE4"/>
    <w:rsid w:val="00826602"/>
    <w:rsid w:val="00841D04"/>
    <w:rsid w:val="0085314C"/>
    <w:rsid w:val="008827FA"/>
    <w:rsid w:val="008864DE"/>
    <w:rsid w:val="008B06E8"/>
    <w:rsid w:val="008E6593"/>
    <w:rsid w:val="008E7689"/>
    <w:rsid w:val="008F5BC2"/>
    <w:rsid w:val="00900090"/>
    <w:rsid w:val="0091153F"/>
    <w:rsid w:val="00930447"/>
    <w:rsid w:val="00931295"/>
    <w:rsid w:val="00950623"/>
    <w:rsid w:val="00976EC0"/>
    <w:rsid w:val="009A7B38"/>
    <w:rsid w:val="009B7A5C"/>
    <w:rsid w:val="00A02014"/>
    <w:rsid w:val="00A15F73"/>
    <w:rsid w:val="00A24A09"/>
    <w:rsid w:val="00A35EC7"/>
    <w:rsid w:val="00A36B42"/>
    <w:rsid w:val="00A536CD"/>
    <w:rsid w:val="00A667F5"/>
    <w:rsid w:val="00A8583F"/>
    <w:rsid w:val="00AA5ED2"/>
    <w:rsid w:val="00AB4502"/>
    <w:rsid w:val="00AB4E27"/>
    <w:rsid w:val="00AB636A"/>
    <w:rsid w:val="00AC223A"/>
    <w:rsid w:val="00AC377A"/>
    <w:rsid w:val="00AC3F17"/>
    <w:rsid w:val="00AD6EF2"/>
    <w:rsid w:val="00B00A80"/>
    <w:rsid w:val="00B20425"/>
    <w:rsid w:val="00B36739"/>
    <w:rsid w:val="00B70F9C"/>
    <w:rsid w:val="00B729A3"/>
    <w:rsid w:val="00B834B1"/>
    <w:rsid w:val="00BF490E"/>
    <w:rsid w:val="00C1689C"/>
    <w:rsid w:val="00C23152"/>
    <w:rsid w:val="00C408F3"/>
    <w:rsid w:val="00C57D5D"/>
    <w:rsid w:val="00C62133"/>
    <w:rsid w:val="00C8194A"/>
    <w:rsid w:val="00C8449D"/>
    <w:rsid w:val="00CC441B"/>
    <w:rsid w:val="00CC4B66"/>
    <w:rsid w:val="00CD5FCE"/>
    <w:rsid w:val="00CF50AB"/>
    <w:rsid w:val="00D02F24"/>
    <w:rsid w:val="00D038A0"/>
    <w:rsid w:val="00D05FAA"/>
    <w:rsid w:val="00D135F2"/>
    <w:rsid w:val="00D31876"/>
    <w:rsid w:val="00D40185"/>
    <w:rsid w:val="00D40584"/>
    <w:rsid w:val="00D440E2"/>
    <w:rsid w:val="00D53B97"/>
    <w:rsid w:val="00D92914"/>
    <w:rsid w:val="00E52A13"/>
    <w:rsid w:val="00E77A5F"/>
    <w:rsid w:val="00E95FF7"/>
    <w:rsid w:val="00EA6FB1"/>
    <w:rsid w:val="00EB3500"/>
    <w:rsid w:val="00EE3914"/>
    <w:rsid w:val="00EE4BE4"/>
    <w:rsid w:val="00EE7495"/>
    <w:rsid w:val="00EF4379"/>
    <w:rsid w:val="00F21F80"/>
    <w:rsid w:val="00F23625"/>
    <w:rsid w:val="00F24631"/>
    <w:rsid w:val="00F35DB2"/>
    <w:rsid w:val="00F404FD"/>
    <w:rsid w:val="00F415D6"/>
    <w:rsid w:val="00F43D89"/>
    <w:rsid w:val="00F51627"/>
    <w:rsid w:val="00F54DEC"/>
    <w:rsid w:val="00F55344"/>
    <w:rsid w:val="00F81028"/>
    <w:rsid w:val="00F8232F"/>
    <w:rsid w:val="00FC4F82"/>
    <w:rsid w:val="00FD0E0A"/>
    <w:rsid w:val="00FE0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E6F92"/>
  <w15:chartTrackingRefBased/>
  <w15:docId w15:val="{698F668D-52EC-4648-9809-EBE649C9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8A0"/>
    <w:pPr>
      <w:ind w:left="720"/>
      <w:contextualSpacing/>
    </w:pPr>
  </w:style>
  <w:style w:type="character" w:styleId="Hyperlink">
    <w:name w:val="Hyperlink"/>
    <w:basedOn w:val="DefaultParagraphFont"/>
    <w:uiPriority w:val="99"/>
    <w:unhideWhenUsed/>
    <w:rsid w:val="006648F6"/>
    <w:rPr>
      <w:color w:val="0563C1" w:themeColor="hyperlink"/>
      <w:u w:val="single"/>
    </w:rPr>
  </w:style>
  <w:style w:type="character" w:styleId="UnresolvedMention">
    <w:name w:val="Unresolved Mention"/>
    <w:basedOn w:val="DefaultParagraphFont"/>
    <w:uiPriority w:val="99"/>
    <w:semiHidden/>
    <w:unhideWhenUsed/>
    <w:rsid w:val="00664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xabay.com/de/tennis-sport-comic-figur-comic-129876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Davies</dc:creator>
  <cp:keywords/>
  <dc:description/>
  <cp:lastModifiedBy>Glyn Davies</cp:lastModifiedBy>
  <cp:revision>4</cp:revision>
  <dcterms:created xsi:type="dcterms:W3CDTF">2020-08-31T10:34:00Z</dcterms:created>
  <dcterms:modified xsi:type="dcterms:W3CDTF">2020-09-01T07:48:00Z</dcterms:modified>
</cp:coreProperties>
</file>